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June 2023, HM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1155cc"/>
            <w:sz w:val="24"/>
            <w:szCs w:val="24"/>
            <w:u w:val="single"/>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y9lkx0wz8uj1"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by individuals and by the Supplier Staff as a whole;</w:t>
      </w:r>
      <w:r w:rsidDel="00000000" w:rsidR="00000000" w:rsidRPr="00000000">
        <w:rPr>
          <w:rtl w:val="0"/>
        </w:rPr>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5.4 below.</w:t>
      </w:r>
      <w:r w:rsidDel="00000000" w:rsidR="00000000" w:rsidRPr="00000000">
        <w:rPr>
          <w:rtl w:val="0"/>
        </w:rPr>
      </w:r>
    </w:p>
    <w:p w:rsidR="00000000" w:rsidDel="00000000" w:rsidP="00000000" w:rsidRDefault="00000000" w:rsidRPr="00000000" w14:paraId="0000002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w:cs="Arial" w:eastAsia="Arial" w:hAnsi="Arial"/>
          <w:b w:val="1"/>
          <w:sz w:val="24"/>
          <w:szCs w:val="24"/>
          <w:rtl w:val="0"/>
        </w:rPr>
        <w:t xml:space="preserve">ustainability</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4">
      <w:pPr>
        <w:pageBreakBefore w:val="0"/>
        <w:spacing w:after="120" w:before="120" w:line="240" w:lineRule="auto"/>
        <w:ind w:left="1402" w:hanging="360"/>
        <w:rPr>
          <w:rFonts w:ascii="Arial" w:cs="Arial" w:eastAsia="Arial" w:hAnsi="Arial"/>
          <w:sz w:val="24"/>
          <w:szCs w:val="24"/>
        </w:rPr>
      </w:pPr>
      <w:hyperlink r:id="rId8">
        <w:r w:rsidDel="00000000" w:rsidR="00000000" w:rsidRPr="00000000">
          <w:rPr>
            <w:rFonts w:ascii="Arial" w:cs="Arial" w:eastAsia="Arial" w:hAnsi="Arial"/>
            <w:color w:val="1155cc"/>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sz w:val="20"/>
        <w:szCs w:val="20"/>
      </w:rPr>
    </w:pPr>
    <w:bookmarkStart w:colFirst="0" w:colLast="0" w:name="_afpo63td6al3" w:id="1"/>
    <w:bookmarkEnd w:id="1"/>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3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s1egzux9k9x3" w:id="2"/>
    <w:bookmarkEnd w:id="2"/>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3F">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8">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s://assets.publishing.service.gov.uk/government/uploads/system/uploads/attachment_data/file/1163536/Supplier_Code_of_Conduct_v3.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